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0394" w14:textId="77777777" w:rsidR="00AD3220" w:rsidRDefault="00AD3220" w:rsidP="00DE58BC">
      <w:pPr>
        <w:rPr>
          <w:rFonts w:ascii="Open Sans" w:hAnsi="Open Sans" w:cs="Open Sans"/>
          <w:b/>
          <w:bCs/>
        </w:rPr>
      </w:pPr>
    </w:p>
    <w:p w14:paraId="18914261" w14:textId="43933EBB" w:rsidR="00DE58BC" w:rsidRDefault="00DE58BC" w:rsidP="00AD3220">
      <w:pPr>
        <w:jc w:val="center"/>
        <w:rPr>
          <w:rFonts w:ascii="Open Sans" w:hAnsi="Open Sans" w:cs="Open Sans"/>
          <w:b/>
          <w:bCs/>
        </w:rPr>
      </w:pPr>
      <w:r w:rsidRPr="009C503E">
        <w:rPr>
          <w:rFonts w:ascii="Open Sans" w:hAnsi="Open Sans" w:cs="Open Sans"/>
          <w:b/>
          <w:bCs/>
        </w:rPr>
        <w:t>Komunikat dot. naboru 8/2025/EFS+</w:t>
      </w:r>
      <w:r w:rsidR="00AD3220">
        <w:rPr>
          <w:rFonts w:ascii="Open Sans" w:hAnsi="Open Sans" w:cs="Open Sans"/>
          <w:b/>
          <w:bCs/>
        </w:rPr>
        <w:t xml:space="preserve"> z dnia 04.11.2025 r.</w:t>
      </w:r>
    </w:p>
    <w:p w14:paraId="7E21D0C7" w14:textId="77777777" w:rsidR="005D5EAB" w:rsidRPr="009C503E" w:rsidRDefault="005D5EAB" w:rsidP="00AD3220">
      <w:pPr>
        <w:jc w:val="center"/>
        <w:rPr>
          <w:rFonts w:ascii="Open Sans" w:hAnsi="Open Sans" w:cs="Open Sans"/>
          <w:b/>
          <w:bCs/>
        </w:rPr>
      </w:pPr>
    </w:p>
    <w:p w14:paraId="5A1B533C" w14:textId="77777777" w:rsidR="007A4609" w:rsidRDefault="009C503E" w:rsidP="007A4609">
      <w:p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Stowarzyszenie LGD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„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Kraina Mlekiem Płynąca” informuje, że w Regulaminie naboru wniosków w ramach Działania 09.01 Rozwój lokalnej edukacji i kształcenia, Typ projektu: Kształcenie ogólne, </w:t>
      </w:r>
      <w:r w:rsidR="007A4609"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zmieniono termin składania wniosków:</w:t>
      </w:r>
      <w:r w:rsid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683B3F5" w14:textId="65CBE4F4" w:rsidR="007A4609" w:rsidRPr="007A4609" w:rsidRDefault="007A4609" w:rsidP="007A4609">
      <w:p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Było:</w:t>
      </w:r>
    </w:p>
    <w:p w14:paraId="359BB990" w14:textId="77777777" w:rsidR="007A4609" w:rsidRPr="007A4609" w:rsidRDefault="007A4609" w:rsidP="007A4609">
      <w:pPr>
        <w:numPr>
          <w:ilvl w:val="0"/>
          <w:numId w:val="7"/>
        </w:num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rozpoczęcie naboru wniosków: od dnia </w:t>
      </w: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03.11.2025 r.</w:t>
      </w:r>
      <w:r w:rsidRP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od godz. </w:t>
      </w: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15:00</w:t>
      </w:r>
    </w:p>
    <w:p w14:paraId="322A9105" w14:textId="77777777" w:rsidR="007A4609" w:rsidRPr="007A4609" w:rsidRDefault="007A4609" w:rsidP="007A4609">
      <w:pPr>
        <w:numPr>
          <w:ilvl w:val="0"/>
          <w:numId w:val="7"/>
        </w:num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zakończenie naboru wniosków: do końca dnia </w:t>
      </w: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20.11.2025 r.</w:t>
      </w:r>
    </w:p>
    <w:p w14:paraId="260A4023" w14:textId="77777777" w:rsidR="007A4609" w:rsidRPr="007A4609" w:rsidRDefault="007A4609" w:rsidP="007A4609">
      <w:p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Jest:</w:t>
      </w:r>
    </w:p>
    <w:p w14:paraId="724B57F4" w14:textId="77777777" w:rsidR="007A4609" w:rsidRPr="007A4609" w:rsidRDefault="007A4609" w:rsidP="007A4609">
      <w:pPr>
        <w:numPr>
          <w:ilvl w:val="0"/>
          <w:numId w:val="8"/>
        </w:num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rozpoczęcie naboru wniosków: od dnia </w:t>
      </w: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03.11.2025 r.</w:t>
      </w:r>
      <w:r w:rsidRP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od godz. </w:t>
      </w: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15:00</w:t>
      </w:r>
    </w:p>
    <w:p w14:paraId="4F7A124B" w14:textId="77777777" w:rsidR="007A4609" w:rsidRPr="007A4609" w:rsidRDefault="007A4609" w:rsidP="007A4609">
      <w:pPr>
        <w:numPr>
          <w:ilvl w:val="0"/>
          <w:numId w:val="8"/>
        </w:num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7A4609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zakończenie naboru wniosków: do końca dnia </w:t>
      </w:r>
      <w:r w:rsidRPr="007A4609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03.12.2025 r.</w:t>
      </w:r>
    </w:p>
    <w:p w14:paraId="763598DF" w14:textId="77777777" w:rsidR="007A4609" w:rsidRDefault="007A4609" w:rsidP="007A4609">
      <w:p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15B9CDB" w14:textId="58D81F4C" w:rsidR="009C503E" w:rsidRPr="009C503E" w:rsidRDefault="007A4609" w:rsidP="007A4609">
      <w:p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oraz </w:t>
      </w:r>
      <w:r w:rsidR="009C503E"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>dokonano aktualizacji</w:t>
      </w:r>
      <w:r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</w:t>
      </w:r>
      <w:r w:rsidR="009C503E"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Zasady stosowania zasady konkurencyjności</w:t>
      </w:r>
      <w:r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29D5167" w14:textId="77777777" w:rsidR="009C503E" w:rsidRPr="009C503E" w:rsidRDefault="009C503E" w:rsidP="005D5EAB">
      <w:pPr>
        <w:spacing w:line="276" w:lineRule="auto"/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</w:pP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Było: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  <w:t xml:space="preserve">Każdy beneficjent powinien pamiętać, że progiem, od którego stosować należy zasadę konkurencyjności jest kwota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50 000 zł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bez podatku od towarów i usług. Kwota ta odnosi się do zagregowanej wartości zamówienia, zgodnie z Wytycznymi kwalifikowalności, a nie wartości pojedynczego zakupu.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  <w:t>Zasady konkurencyjności nie stosuje się m.in. do zamówień, do których zastosowanie będzie mieć ustawa – Prawo zamówień publicznych, która obowiązuje przy zamówieniach o wartości równej lub przekraczającej 130 000 zł.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  <w:t xml:space="preserve">Dla podmiotów stosujących ustawę PZP zasada konkurencyjności ma zastosowanie do zamówień w przedziale wartości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50 000 zł – 129 999 zł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. Pozostałe podmioty (fundacje, stowarzyszenia, firmy jednoosobowe, spółki prawa handlowego i cywilnego itp.) stosują zasadę konkurencyjności dla zamówień przekraczających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50 000 zł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bez podatku od towarów i usług.</w:t>
      </w:r>
    </w:p>
    <w:p w14:paraId="5998E00C" w14:textId="771AA234" w:rsidR="007A4609" w:rsidRDefault="009C503E" w:rsidP="007A4609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Jest: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  <w:t xml:space="preserve">Każdy beneficjent powinien pamiętać, że progiem, od którego stosować należy zasadę konkurencyjności jest kwota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80 000 zł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bez podatku od towarów i usług. Kwota ta odnosi się do zagregowanej wartości zamówienia, zgodnie z Wytycznymi kwalifikowalności, a nie wartości pojedynczego zakupu.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  <w:t xml:space="preserve">Zasady konkurencyjności nie stosuje się m.in. do zamówień, do których zastosowanie 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lastRenderedPageBreak/>
        <w:t>będzie mieć ustawa – Prawo zamówień publicznych, która obowiązuje przy zamówieniach o wartości równej lub przekraczającej 130 000 zł.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  <w:t xml:space="preserve">Dla podmiotów stosujących ustawę PZP zasada konkurencyjności ma zastosowanie do zamówień w przedziale wartości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80 000 zł – 129 999 zł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. Pozostałe podmioty (fundacje, stowarzyszenia, firmy jednoosobowe, spółki prawa handlowego i cywilnego itp.) stosują zasadę konkurencyjności dla zamówień przekraczających </w:t>
      </w:r>
      <w:r w:rsidRPr="009C503E">
        <w:rPr>
          <w:rFonts w:ascii="Open Sans" w:eastAsia="PMingLiU" w:hAnsi="Open Sans" w:cs="Open Sans"/>
          <w:b/>
          <w:bCs/>
          <w:kern w:val="0"/>
          <w:sz w:val="22"/>
          <w:szCs w:val="22"/>
          <w:lang w:eastAsia="pl-PL"/>
          <w14:ligatures w14:val="none"/>
        </w:rPr>
        <w:t>80 000 zł</w:t>
      </w:r>
      <w:r w:rsidRPr="009C503E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t xml:space="preserve"> bez podatku od towarów i usług.</w:t>
      </w:r>
      <w:r w:rsidR="005D5EAB">
        <w:rPr>
          <w:rFonts w:ascii="Open Sans" w:eastAsia="PMingLiU" w:hAnsi="Open Sans" w:cs="Open Sans"/>
          <w:kern w:val="0"/>
          <w:sz w:val="22"/>
          <w:szCs w:val="22"/>
          <w:lang w:eastAsia="pl-PL"/>
          <w14:ligatures w14:val="none"/>
        </w:rPr>
        <w:br/>
      </w:r>
    </w:p>
    <w:p w14:paraId="61B2B481" w14:textId="5DB09033" w:rsidR="00DE58BC" w:rsidRPr="00AD3220" w:rsidRDefault="00DE58BC" w:rsidP="007A4609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AD3220">
        <w:rPr>
          <w:rFonts w:ascii="Open Sans" w:hAnsi="Open Sans" w:cs="Open Sans"/>
          <w:sz w:val="22"/>
          <w:szCs w:val="22"/>
        </w:rPr>
        <w:t xml:space="preserve">Obowiązujący od dnia </w:t>
      </w:r>
      <w:r w:rsidR="00AD3220" w:rsidRPr="00AD3220">
        <w:rPr>
          <w:rFonts w:ascii="Open Sans" w:hAnsi="Open Sans" w:cs="Open Sans"/>
          <w:sz w:val="22"/>
          <w:szCs w:val="22"/>
        </w:rPr>
        <w:t>04.</w:t>
      </w:r>
      <w:r w:rsidRPr="00AD3220">
        <w:rPr>
          <w:rFonts w:ascii="Open Sans" w:hAnsi="Open Sans" w:cs="Open Sans"/>
          <w:sz w:val="22"/>
          <w:szCs w:val="22"/>
        </w:rPr>
        <w:t>11.2025 r. Regulamin naboru zamieszczono w załącznikach do ogłoszenia.</w:t>
      </w:r>
    </w:p>
    <w:p w14:paraId="4C0CD4EF" w14:textId="77777777" w:rsidR="006638EB" w:rsidRDefault="006638EB"/>
    <w:sectPr w:rsidR="006638EB" w:rsidSect="005D5EAB">
      <w:headerReference w:type="first" r:id="rId7"/>
      <w:pgSz w:w="11906" w:h="16838"/>
      <w:pgMar w:top="1273" w:right="1417" w:bottom="1417" w:left="1417" w:header="8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23EB" w14:textId="77777777" w:rsidR="00AD3220" w:rsidRDefault="00AD3220" w:rsidP="00AD3220">
      <w:pPr>
        <w:spacing w:after="0" w:line="240" w:lineRule="auto"/>
      </w:pPr>
      <w:r>
        <w:separator/>
      </w:r>
    </w:p>
  </w:endnote>
  <w:endnote w:type="continuationSeparator" w:id="0">
    <w:p w14:paraId="529312E5" w14:textId="77777777" w:rsidR="00AD3220" w:rsidRDefault="00AD3220" w:rsidP="00AD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83B6" w14:textId="77777777" w:rsidR="00AD3220" w:rsidRDefault="00AD3220" w:rsidP="00AD3220">
      <w:pPr>
        <w:spacing w:after="0" w:line="240" w:lineRule="auto"/>
      </w:pPr>
      <w:r>
        <w:separator/>
      </w:r>
    </w:p>
  </w:footnote>
  <w:footnote w:type="continuationSeparator" w:id="0">
    <w:p w14:paraId="0659EC87" w14:textId="77777777" w:rsidR="00AD3220" w:rsidRDefault="00AD3220" w:rsidP="00AD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8CC6" w14:textId="75E57762" w:rsidR="005D5EAB" w:rsidRDefault="005D5EAB">
    <w:pPr>
      <w:pStyle w:val="Nagwek"/>
    </w:pPr>
    <w:r>
      <w:rPr>
        <w:noProof/>
      </w:rPr>
      <w:drawing>
        <wp:inline distT="0" distB="0" distL="0" distR="0" wp14:anchorId="7F21D239" wp14:editId="251D0BFA">
          <wp:extent cx="5760720" cy="615882"/>
          <wp:effectExtent l="0" t="0" r="0" b="0"/>
          <wp:docPr id="795682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9DA"/>
    <w:multiLevelType w:val="multilevel"/>
    <w:tmpl w:val="27C4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10E81"/>
    <w:multiLevelType w:val="multilevel"/>
    <w:tmpl w:val="561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E03AB"/>
    <w:multiLevelType w:val="multilevel"/>
    <w:tmpl w:val="BC0A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532EF"/>
    <w:multiLevelType w:val="multilevel"/>
    <w:tmpl w:val="816C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174B3"/>
    <w:multiLevelType w:val="multilevel"/>
    <w:tmpl w:val="8110C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A763B"/>
    <w:multiLevelType w:val="multilevel"/>
    <w:tmpl w:val="F32A1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52688"/>
    <w:multiLevelType w:val="multilevel"/>
    <w:tmpl w:val="C94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24E06"/>
    <w:multiLevelType w:val="multilevel"/>
    <w:tmpl w:val="205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852279">
    <w:abstractNumId w:val="2"/>
  </w:num>
  <w:num w:numId="2" w16cid:durableId="232594044">
    <w:abstractNumId w:val="4"/>
  </w:num>
  <w:num w:numId="3" w16cid:durableId="1971131416">
    <w:abstractNumId w:val="3"/>
  </w:num>
  <w:num w:numId="4" w16cid:durableId="1530684603">
    <w:abstractNumId w:val="1"/>
  </w:num>
  <w:num w:numId="5" w16cid:durableId="159545708">
    <w:abstractNumId w:val="7"/>
  </w:num>
  <w:num w:numId="6" w16cid:durableId="1512987443">
    <w:abstractNumId w:val="5"/>
  </w:num>
  <w:num w:numId="7" w16cid:durableId="1239750049">
    <w:abstractNumId w:val="0"/>
  </w:num>
  <w:num w:numId="8" w16cid:durableId="808666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F5"/>
    <w:rsid w:val="00101AC6"/>
    <w:rsid w:val="0049554D"/>
    <w:rsid w:val="004F1731"/>
    <w:rsid w:val="00510FF5"/>
    <w:rsid w:val="005D5EAB"/>
    <w:rsid w:val="006604A1"/>
    <w:rsid w:val="006638EB"/>
    <w:rsid w:val="00784AF5"/>
    <w:rsid w:val="0078560E"/>
    <w:rsid w:val="007A4609"/>
    <w:rsid w:val="008B4FEC"/>
    <w:rsid w:val="009426D0"/>
    <w:rsid w:val="009C503E"/>
    <w:rsid w:val="00AA54CB"/>
    <w:rsid w:val="00AD3220"/>
    <w:rsid w:val="00CB27EE"/>
    <w:rsid w:val="00DC456B"/>
    <w:rsid w:val="00DE58BC"/>
    <w:rsid w:val="00F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7A0369"/>
  <w15:chartTrackingRefBased/>
  <w15:docId w15:val="{A6A5117B-2764-4FE2-AB9C-837BE01F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F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F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F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F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F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F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F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F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F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F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F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F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F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F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F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F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F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F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FF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2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26D0"/>
  </w:style>
  <w:style w:type="paragraph" w:styleId="NormalnyWeb">
    <w:name w:val="Normal (Web)"/>
    <w:basedOn w:val="Normalny"/>
    <w:uiPriority w:val="99"/>
    <w:semiHidden/>
    <w:unhideWhenUsed/>
    <w:rsid w:val="009C503E"/>
  </w:style>
  <w:style w:type="paragraph" w:styleId="Nagwek">
    <w:name w:val="header"/>
    <w:basedOn w:val="Normalny"/>
    <w:link w:val="NagwekZnak"/>
    <w:uiPriority w:val="99"/>
    <w:unhideWhenUsed/>
    <w:rsid w:val="00AD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220"/>
  </w:style>
  <w:style w:type="paragraph" w:styleId="Stopka">
    <w:name w:val="footer"/>
    <w:basedOn w:val="Normalny"/>
    <w:link w:val="StopkaZnak"/>
    <w:uiPriority w:val="99"/>
    <w:unhideWhenUsed/>
    <w:rsid w:val="00AD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Misierewicz Maria</dc:creator>
  <cp:keywords/>
  <dc:description/>
  <cp:lastModifiedBy>Misierewicz Maria</cp:lastModifiedBy>
  <cp:revision>7</cp:revision>
  <cp:lastPrinted>2025-11-04T08:26:00Z</cp:lastPrinted>
  <dcterms:created xsi:type="dcterms:W3CDTF">2025-11-03T09:48:00Z</dcterms:created>
  <dcterms:modified xsi:type="dcterms:W3CDTF">2025-11-04T08:46:00Z</dcterms:modified>
</cp:coreProperties>
</file>